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980"/>
        <w:gridCol w:w="2977"/>
        <w:gridCol w:w="2280"/>
        <w:gridCol w:w="1779"/>
      </w:tblGrid>
      <w:tr w:rsidR="009873BC" w:rsidTr="000410C0">
        <w:tc>
          <w:tcPr>
            <w:tcW w:w="9016" w:type="dxa"/>
            <w:gridSpan w:val="4"/>
          </w:tcPr>
          <w:p w:rsidR="009873BC" w:rsidRDefault="009873BC">
            <w:r>
              <w:rPr>
                <w:rFonts w:ascii="PT Sans" w:hAnsi="PT Sans"/>
                <w:b/>
                <w:noProof/>
                <w:sz w:val="28"/>
                <w:szCs w:val="28"/>
                <w:lang w:eastAsia="en-GB"/>
              </w:rPr>
              <w:drawing>
                <wp:anchor distT="0" distB="0" distL="114300" distR="114300" simplePos="0" relativeHeight="251663360" behindDoc="0" locked="0" layoutInCell="1" allowOverlap="1" wp14:anchorId="6AC0815B" wp14:editId="762F64FC">
                  <wp:simplePos x="0" y="0"/>
                  <wp:positionH relativeFrom="margin">
                    <wp:posOffset>-34925</wp:posOffset>
                  </wp:positionH>
                  <wp:positionV relativeFrom="paragraph">
                    <wp:posOffset>83820</wp:posOffset>
                  </wp:positionV>
                  <wp:extent cx="1490345" cy="523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USU-Representation 0616-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345" cy="523875"/>
                          </a:xfrm>
                          <a:prstGeom prst="rect">
                            <a:avLst/>
                          </a:prstGeom>
                        </pic:spPr>
                      </pic:pic>
                    </a:graphicData>
                  </a:graphic>
                  <wp14:sizeRelH relativeFrom="page">
                    <wp14:pctWidth>0</wp14:pctWidth>
                  </wp14:sizeRelH>
                  <wp14:sizeRelV relativeFrom="page">
                    <wp14:pctHeight>0</wp14:pctHeight>
                  </wp14:sizeRelV>
                </wp:anchor>
              </w:drawing>
            </w:r>
          </w:p>
          <w:p w:rsidR="009873BC" w:rsidRDefault="009873BC" w:rsidP="003008D4">
            <w:pPr>
              <w:jc w:val="right"/>
            </w:pPr>
            <w:r>
              <w:rPr>
                <w:rFonts w:ascii="PT Sans" w:hAnsi="PT Sans"/>
                <w:sz w:val="40"/>
                <w:szCs w:val="40"/>
              </w:rPr>
              <w:t>GENDER NEUTRAL TOILETS POLICY</w:t>
            </w:r>
          </w:p>
          <w:p w:rsidR="009873BC" w:rsidRDefault="009873BC">
            <w:pPr>
              <w:rPr>
                <w:rFonts w:ascii="PT Sans" w:hAnsi="PT Sans"/>
                <w:b/>
                <w:noProof/>
                <w:sz w:val="28"/>
                <w:szCs w:val="28"/>
                <w:lang w:eastAsia="en-GB"/>
              </w:rPr>
            </w:pPr>
          </w:p>
        </w:tc>
      </w:tr>
      <w:tr w:rsidR="00CC7907" w:rsidRPr="003008D4" w:rsidTr="00CC7907">
        <w:tc>
          <w:tcPr>
            <w:tcW w:w="1980" w:type="dxa"/>
          </w:tcPr>
          <w:p w:rsidR="00CC7907" w:rsidRPr="004879CA" w:rsidRDefault="00CC7907" w:rsidP="00CC7907">
            <w:pPr>
              <w:rPr>
                <w:rFonts w:ascii="PT Sans" w:hAnsi="PT Sans"/>
                <w:b/>
                <w:sz w:val="24"/>
                <w:szCs w:val="24"/>
              </w:rPr>
            </w:pPr>
            <w:r w:rsidRPr="004879CA">
              <w:rPr>
                <w:rFonts w:ascii="PT Sans" w:hAnsi="PT Sans"/>
                <w:b/>
                <w:sz w:val="24"/>
                <w:szCs w:val="24"/>
              </w:rPr>
              <w:t>For the attention of:</w:t>
            </w:r>
          </w:p>
        </w:tc>
        <w:tc>
          <w:tcPr>
            <w:tcW w:w="2977" w:type="dxa"/>
          </w:tcPr>
          <w:p w:rsidR="00CC7907" w:rsidRPr="004879CA" w:rsidRDefault="00CC7907" w:rsidP="00CC7907">
            <w:pPr>
              <w:rPr>
                <w:rFonts w:ascii="PT Sans" w:hAnsi="PT Sans"/>
                <w:sz w:val="24"/>
                <w:szCs w:val="24"/>
              </w:rPr>
            </w:pPr>
            <w:r w:rsidRPr="004879CA">
              <w:rPr>
                <w:rFonts w:ascii="PT Sans" w:hAnsi="PT Sans"/>
                <w:sz w:val="24"/>
                <w:szCs w:val="24"/>
              </w:rPr>
              <w:t>Executive Committee</w:t>
            </w:r>
          </w:p>
          <w:p w:rsidR="00CC7907" w:rsidRPr="004879CA" w:rsidRDefault="00CC7907" w:rsidP="00CC7907">
            <w:pPr>
              <w:rPr>
                <w:rFonts w:ascii="PT Sans" w:hAnsi="PT Sans"/>
                <w:sz w:val="24"/>
                <w:szCs w:val="24"/>
              </w:rPr>
            </w:pPr>
          </w:p>
        </w:tc>
        <w:tc>
          <w:tcPr>
            <w:tcW w:w="2280" w:type="dxa"/>
          </w:tcPr>
          <w:p w:rsidR="00CC7907" w:rsidRPr="004879CA" w:rsidRDefault="00CC7907" w:rsidP="00CC7907">
            <w:pPr>
              <w:rPr>
                <w:rFonts w:ascii="PT Sans" w:hAnsi="PT Sans"/>
                <w:b/>
                <w:sz w:val="24"/>
                <w:szCs w:val="24"/>
              </w:rPr>
            </w:pPr>
            <w:r w:rsidRPr="004879CA">
              <w:rPr>
                <w:rFonts w:ascii="PT Sans" w:hAnsi="PT Sans"/>
                <w:b/>
                <w:sz w:val="24"/>
                <w:szCs w:val="24"/>
              </w:rPr>
              <w:t>Taking place on:</w:t>
            </w:r>
          </w:p>
        </w:tc>
        <w:tc>
          <w:tcPr>
            <w:tcW w:w="1779" w:type="dxa"/>
          </w:tcPr>
          <w:p w:rsidR="00CC7907" w:rsidRPr="004879CA" w:rsidRDefault="00334960" w:rsidP="00CC7907">
            <w:pPr>
              <w:rPr>
                <w:rFonts w:ascii="PT Sans" w:hAnsi="PT Sans"/>
                <w:sz w:val="24"/>
                <w:szCs w:val="24"/>
              </w:rPr>
            </w:pPr>
            <w:r>
              <w:rPr>
                <w:rFonts w:ascii="PT Sans" w:hAnsi="PT Sans"/>
                <w:sz w:val="24"/>
                <w:szCs w:val="24"/>
              </w:rPr>
              <w:t>11/01/17</w:t>
            </w:r>
            <w:bookmarkStart w:id="0" w:name="_GoBack"/>
            <w:bookmarkEnd w:id="0"/>
          </w:p>
        </w:tc>
      </w:tr>
      <w:tr w:rsidR="00CC7907" w:rsidRPr="003008D4" w:rsidTr="00CC7907">
        <w:tc>
          <w:tcPr>
            <w:tcW w:w="1980" w:type="dxa"/>
          </w:tcPr>
          <w:p w:rsidR="00CC7907" w:rsidRPr="004879CA" w:rsidRDefault="00CC7907" w:rsidP="00CC7907">
            <w:pPr>
              <w:rPr>
                <w:rFonts w:ascii="PT Sans" w:hAnsi="PT Sans"/>
                <w:b/>
                <w:sz w:val="24"/>
                <w:szCs w:val="24"/>
              </w:rPr>
            </w:pPr>
            <w:r w:rsidRPr="004879CA">
              <w:rPr>
                <w:rFonts w:ascii="PT Sans" w:hAnsi="PT Sans"/>
                <w:b/>
                <w:sz w:val="24"/>
                <w:szCs w:val="24"/>
              </w:rPr>
              <w:t>Name:</w:t>
            </w:r>
          </w:p>
        </w:tc>
        <w:tc>
          <w:tcPr>
            <w:tcW w:w="2977" w:type="dxa"/>
          </w:tcPr>
          <w:p w:rsidR="00A70947" w:rsidRPr="004879CA" w:rsidRDefault="00DE7530" w:rsidP="00DE7530">
            <w:pPr>
              <w:rPr>
                <w:rFonts w:ascii="PT Sans" w:hAnsi="PT Sans"/>
                <w:sz w:val="24"/>
                <w:szCs w:val="24"/>
              </w:rPr>
            </w:pPr>
            <w:r w:rsidRPr="004879CA">
              <w:rPr>
                <w:rFonts w:ascii="PT Sans" w:hAnsi="PT Sans"/>
                <w:sz w:val="24"/>
                <w:szCs w:val="24"/>
              </w:rPr>
              <w:t>Kat</w:t>
            </w:r>
            <w:r w:rsidR="00A70947" w:rsidRPr="004879CA">
              <w:rPr>
                <w:rFonts w:ascii="PT Sans" w:hAnsi="PT Sans"/>
                <w:sz w:val="24"/>
                <w:szCs w:val="24"/>
              </w:rPr>
              <w:t xml:space="preserve"> Younger</w:t>
            </w:r>
          </w:p>
          <w:p w:rsidR="00CC7907" w:rsidRPr="004879CA" w:rsidRDefault="00A068BD" w:rsidP="00DE7530">
            <w:pPr>
              <w:rPr>
                <w:rFonts w:ascii="PT Sans" w:hAnsi="PT Sans"/>
                <w:sz w:val="24"/>
                <w:szCs w:val="24"/>
              </w:rPr>
            </w:pPr>
            <w:r w:rsidRPr="004879CA">
              <w:rPr>
                <w:rFonts w:ascii="PT Sans" w:hAnsi="PT Sans"/>
                <w:sz w:val="24"/>
                <w:szCs w:val="24"/>
              </w:rPr>
              <w:t>Jamie Smith</w:t>
            </w:r>
          </w:p>
        </w:tc>
        <w:tc>
          <w:tcPr>
            <w:tcW w:w="2280" w:type="dxa"/>
          </w:tcPr>
          <w:p w:rsidR="00CC7907" w:rsidRPr="004879CA" w:rsidRDefault="00CC7907" w:rsidP="00CC7907">
            <w:pPr>
              <w:rPr>
                <w:rFonts w:ascii="PT Sans" w:hAnsi="PT Sans"/>
                <w:b/>
                <w:sz w:val="24"/>
                <w:szCs w:val="24"/>
              </w:rPr>
            </w:pPr>
            <w:r w:rsidRPr="004879CA">
              <w:rPr>
                <w:rFonts w:ascii="PT Sans" w:hAnsi="PT Sans"/>
                <w:b/>
                <w:sz w:val="24"/>
                <w:szCs w:val="24"/>
              </w:rPr>
              <w:t>Action:</w:t>
            </w:r>
          </w:p>
        </w:tc>
        <w:tc>
          <w:tcPr>
            <w:tcW w:w="1779" w:type="dxa"/>
          </w:tcPr>
          <w:p w:rsidR="00CC7907" w:rsidRPr="004879CA" w:rsidRDefault="00CC7907" w:rsidP="00CC7907">
            <w:pPr>
              <w:rPr>
                <w:rFonts w:ascii="PT Sans" w:hAnsi="PT Sans"/>
                <w:sz w:val="24"/>
                <w:szCs w:val="24"/>
              </w:rPr>
            </w:pPr>
            <w:r w:rsidRPr="004879CA">
              <w:rPr>
                <w:rFonts w:ascii="PT Sans" w:hAnsi="PT Sans"/>
                <w:sz w:val="24"/>
                <w:szCs w:val="24"/>
              </w:rPr>
              <w:t>To note</w:t>
            </w:r>
          </w:p>
        </w:tc>
      </w:tr>
      <w:tr w:rsidR="00CC7907" w:rsidRPr="003008D4" w:rsidTr="0015685A">
        <w:tc>
          <w:tcPr>
            <w:tcW w:w="9016" w:type="dxa"/>
            <w:gridSpan w:val="4"/>
          </w:tcPr>
          <w:p w:rsidR="00CC7907" w:rsidRPr="004879CA" w:rsidRDefault="00CC7907" w:rsidP="00CC7907">
            <w:pPr>
              <w:rPr>
                <w:rFonts w:ascii="PT Sans" w:hAnsi="PT Sans"/>
                <w:i/>
                <w:sz w:val="24"/>
                <w:szCs w:val="24"/>
              </w:rPr>
            </w:pPr>
            <w:r w:rsidRPr="004879CA">
              <w:rPr>
                <w:rFonts w:ascii="PT Sans" w:hAnsi="PT Sans"/>
                <w:b/>
                <w:sz w:val="24"/>
                <w:szCs w:val="24"/>
              </w:rPr>
              <w:t>Summary:</w:t>
            </w:r>
            <w:r w:rsidRPr="004879CA">
              <w:rPr>
                <w:rFonts w:ascii="PT Sans" w:hAnsi="PT Sans"/>
                <w:sz w:val="24"/>
                <w:szCs w:val="24"/>
              </w:rPr>
              <w:t xml:space="preserve"> </w:t>
            </w:r>
            <w:r w:rsidRPr="004879CA">
              <w:rPr>
                <w:rFonts w:ascii="PT Sans" w:hAnsi="PT Sans"/>
                <w:i/>
                <w:sz w:val="24"/>
                <w:szCs w:val="24"/>
              </w:rPr>
              <w:t>This paper provides an update on the implementation of the policy</w:t>
            </w:r>
          </w:p>
          <w:p w:rsidR="00CC7907" w:rsidRPr="004879CA" w:rsidRDefault="00CC7907" w:rsidP="00CC7907">
            <w:pPr>
              <w:rPr>
                <w:rFonts w:ascii="PT Sans" w:hAnsi="PT Sans"/>
                <w:b/>
                <w:sz w:val="24"/>
                <w:szCs w:val="24"/>
              </w:rPr>
            </w:pPr>
          </w:p>
        </w:tc>
      </w:tr>
      <w:tr w:rsidR="00CC7907" w:rsidRPr="003008D4" w:rsidTr="00CC7907">
        <w:tc>
          <w:tcPr>
            <w:tcW w:w="7237" w:type="dxa"/>
            <w:gridSpan w:val="3"/>
          </w:tcPr>
          <w:p w:rsidR="00CC7907" w:rsidRPr="004879CA" w:rsidRDefault="00CC7907" w:rsidP="00CC7907">
            <w:pPr>
              <w:autoSpaceDE w:val="0"/>
              <w:autoSpaceDN w:val="0"/>
              <w:adjustRightInd w:val="0"/>
              <w:jc w:val="both"/>
              <w:rPr>
                <w:rFonts w:ascii="PT Sans" w:hAnsi="PT Sans" w:cs="PT Sans"/>
                <w:b/>
                <w:sz w:val="24"/>
                <w:szCs w:val="24"/>
              </w:rPr>
            </w:pPr>
            <w:r w:rsidRPr="004879CA">
              <w:rPr>
                <w:rFonts w:ascii="PT Sans" w:hAnsi="PT Sans" w:cs="PT Sans"/>
                <w:b/>
                <w:sz w:val="24"/>
                <w:szCs w:val="24"/>
              </w:rPr>
              <w:t>Union Resolves:</w:t>
            </w:r>
          </w:p>
        </w:tc>
        <w:tc>
          <w:tcPr>
            <w:tcW w:w="1779" w:type="dxa"/>
          </w:tcPr>
          <w:p w:rsidR="00CC7907" w:rsidRPr="004879CA" w:rsidRDefault="00CC7907" w:rsidP="00CC7907">
            <w:pPr>
              <w:rPr>
                <w:rFonts w:ascii="PT Sans" w:hAnsi="PT Sans"/>
                <w:b/>
                <w:sz w:val="20"/>
                <w:szCs w:val="20"/>
              </w:rPr>
            </w:pPr>
            <w:r w:rsidRPr="004879CA">
              <w:rPr>
                <w:rFonts w:ascii="PT Sans" w:hAnsi="PT Sans"/>
                <w:b/>
                <w:sz w:val="20"/>
                <w:szCs w:val="20"/>
              </w:rPr>
              <w:t>Completed, in progress or not started</w:t>
            </w:r>
          </w:p>
        </w:tc>
      </w:tr>
      <w:tr w:rsidR="00CC7907" w:rsidRPr="003008D4" w:rsidTr="00F8607E">
        <w:tc>
          <w:tcPr>
            <w:tcW w:w="7237" w:type="dxa"/>
            <w:gridSpan w:val="3"/>
          </w:tcPr>
          <w:p w:rsidR="00CC7907" w:rsidRPr="004879CA" w:rsidRDefault="00CC7907" w:rsidP="00CC7907">
            <w:pPr>
              <w:pStyle w:val="ListParagraph"/>
              <w:numPr>
                <w:ilvl w:val="0"/>
                <w:numId w:val="11"/>
              </w:numPr>
              <w:autoSpaceDE w:val="0"/>
              <w:autoSpaceDN w:val="0"/>
              <w:adjustRightInd w:val="0"/>
              <w:jc w:val="both"/>
              <w:rPr>
                <w:rFonts w:ascii="PT Sans" w:hAnsi="PT Sans" w:cs="PT Sans"/>
              </w:rPr>
            </w:pPr>
            <w:r w:rsidRPr="004879CA">
              <w:rPr>
                <w:rFonts w:ascii="PT Sans" w:hAnsi="PT Sans" w:cs="PT Sans"/>
              </w:rPr>
              <w:t xml:space="preserve">To campaign to Estates and Facilities to create university regulations which ensure that all university owned buildings have at least one accessible GNT. </w:t>
            </w:r>
          </w:p>
        </w:tc>
        <w:tc>
          <w:tcPr>
            <w:tcW w:w="1779" w:type="dxa"/>
            <w:shd w:val="clear" w:color="auto" w:fill="FF6D6D"/>
            <w:vAlign w:val="center"/>
          </w:tcPr>
          <w:p w:rsidR="00CC7907" w:rsidRPr="004879CA" w:rsidRDefault="007843D6" w:rsidP="0049378F">
            <w:pPr>
              <w:ind w:left="360"/>
              <w:rPr>
                <w:rFonts w:ascii="PT Sans" w:hAnsi="PT Sans"/>
                <w:sz w:val="20"/>
                <w:szCs w:val="20"/>
              </w:rPr>
            </w:pPr>
            <w:r w:rsidRPr="004879CA">
              <w:rPr>
                <w:rFonts w:ascii="PT Sans" w:hAnsi="PT Sans"/>
                <w:sz w:val="20"/>
                <w:szCs w:val="20"/>
              </w:rPr>
              <w:t>Not started</w:t>
            </w:r>
          </w:p>
        </w:tc>
      </w:tr>
      <w:tr w:rsidR="00CC7907" w:rsidRPr="003008D4" w:rsidTr="009A4CAC">
        <w:tc>
          <w:tcPr>
            <w:tcW w:w="7237" w:type="dxa"/>
            <w:gridSpan w:val="3"/>
          </w:tcPr>
          <w:p w:rsidR="00CC7907" w:rsidRPr="004879CA" w:rsidRDefault="00CC7907" w:rsidP="0049378F">
            <w:pPr>
              <w:pStyle w:val="ListParagraph"/>
              <w:numPr>
                <w:ilvl w:val="0"/>
                <w:numId w:val="10"/>
              </w:numPr>
              <w:autoSpaceDE w:val="0"/>
              <w:autoSpaceDN w:val="0"/>
              <w:adjustRightInd w:val="0"/>
              <w:jc w:val="both"/>
              <w:rPr>
                <w:rFonts w:ascii="PT Sans" w:hAnsi="PT Sans"/>
              </w:rPr>
            </w:pPr>
            <w:r w:rsidRPr="004879CA">
              <w:rPr>
                <w:rFonts w:ascii="PT Sans" w:hAnsi="PT Sans" w:cs="PT Sans"/>
              </w:rPr>
              <w:t xml:space="preserve">To encourage Estates and Facilities to not only develop GNTs in the future but create or convert toilets that are gender neutral as appropriate. </w:t>
            </w:r>
          </w:p>
        </w:tc>
        <w:tc>
          <w:tcPr>
            <w:tcW w:w="1779" w:type="dxa"/>
            <w:shd w:val="clear" w:color="auto" w:fill="FFD966" w:themeFill="accent4" w:themeFillTint="99"/>
            <w:vAlign w:val="center"/>
          </w:tcPr>
          <w:p w:rsidR="00CC7907" w:rsidRPr="004879CA" w:rsidRDefault="007843D6" w:rsidP="0049378F">
            <w:pPr>
              <w:ind w:left="360"/>
              <w:rPr>
                <w:rFonts w:ascii="PT Sans" w:hAnsi="PT Sans"/>
                <w:sz w:val="20"/>
                <w:szCs w:val="20"/>
              </w:rPr>
            </w:pPr>
            <w:r w:rsidRPr="004879CA">
              <w:rPr>
                <w:rFonts w:ascii="PT Sans" w:hAnsi="PT Sans"/>
                <w:sz w:val="20"/>
                <w:szCs w:val="20"/>
              </w:rPr>
              <w:t>In Progress</w:t>
            </w:r>
          </w:p>
        </w:tc>
      </w:tr>
      <w:tr w:rsidR="00CC7907" w:rsidRPr="003008D4" w:rsidTr="009A4CAC">
        <w:tc>
          <w:tcPr>
            <w:tcW w:w="7237" w:type="dxa"/>
            <w:gridSpan w:val="3"/>
          </w:tcPr>
          <w:p w:rsidR="00CC7907" w:rsidRPr="004879CA" w:rsidRDefault="00CC7907" w:rsidP="00CC7907">
            <w:pPr>
              <w:pStyle w:val="ListParagraph"/>
              <w:numPr>
                <w:ilvl w:val="0"/>
                <w:numId w:val="10"/>
              </w:numPr>
              <w:autoSpaceDE w:val="0"/>
              <w:autoSpaceDN w:val="0"/>
              <w:adjustRightInd w:val="0"/>
              <w:jc w:val="both"/>
              <w:rPr>
                <w:rFonts w:ascii="PT Sans" w:hAnsi="PT Sans" w:cs="PT Sans"/>
              </w:rPr>
            </w:pPr>
            <w:r w:rsidRPr="004879CA">
              <w:rPr>
                <w:rFonts w:ascii="PT Sans" w:hAnsi="PT Sans" w:cs="PT Sans"/>
              </w:rPr>
              <w:t xml:space="preserve">To proactively encourage or co-ordinate a Gender Neutral Toilets Audit of ARU core campuses (Cambridge, Chelmsford and Peterborough) to look into the practicality of converting any gendered toilets to become GNTs. </w:t>
            </w:r>
          </w:p>
        </w:tc>
        <w:tc>
          <w:tcPr>
            <w:tcW w:w="1779" w:type="dxa"/>
            <w:shd w:val="clear" w:color="auto" w:fill="FFD966" w:themeFill="accent4" w:themeFillTint="99"/>
            <w:vAlign w:val="center"/>
          </w:tcPr>
          <w:p w:rsidR="00CC7907" w:rsidRPr="004879CA" w:rsidRDefault="007843D6" w:rsidP="0049378F">
            <w:pPr>
              <w:ind w:left="360"/>
              <w:rPr>
                <w:rFonts w:ascii="PT Sans" w:hAnsi="PT Sans"/>
                <w:sz w:val="20"/>
                <w:szCs w:val="20"/>
              </w:rPr>
            </w:pPr>
            <w:r w:rsidRPr="004879CA">
              <w:rPr>
                <w:rFonts w:ascii="PT Sans" w:hAnsi="PT Sans"/>
                <w:sz w:val="20"/>
                <w:szCs w:val="20"/>
              </w:rPr>
              <w:t>In Progress</w:t>
            </w:r>
          </w:p>
        </w:tc>
      </w:tr>
      <w:tr w:rsidR="00CC7907" w:rsidRPr="003008D4" w:rsidTr="00F8607E">
        <w:tc>
          <w:tcPr>
            <w:tcW w:w="7237" w:type="dxa"/>
            <w:gridSpan w:val="3"/>
          </w:tcPr>
          <w:p w:rsidR="00CC7907" w:rsidRPr="004879CA" w:rsidRDefault="00CC7907" w:rsidP="00CC7907">
            <w:pPr>
              <w:pStyle w:val="ListParagraph"/>
              <w:numPr>
                <w:ilvl w:val="0"/>
                <w:numId w:val="10"/>
              </w:numPr>
              <w:autoSpaceDE w:val="0"/>
              <w:autoSpaceDN w:val="0"/>
              <w:adjustRightInd w:val="0"/>
              <w:jc w:val="both"/>
              <w:rPr>
                <w:rFonts w:ascii="PT Sans" w:hAnsi="PT Sans" w:cs="PT Sans"/>
              </w:rPr>
            </w:pPr>
            <w:r w:rsidRPr="004879CA">
              <w:rPr>
                <w:rFonts w:ascii="PT Sans" w:hAnsi="PT Sans" w:cs="PT Sans"/>
              </w:rPr>
              <w:t xml:space="preserve">To actively review, amend and change policy on GNTs for future developments such as gendered/non gendered signage of toilets and expanding this policy to accommodate gender neutral single cubical changing room facilities for the gym. </w:t>
            </w:r>
          </w:p>
        </w:tc>
        <w:tc>
          <w:tcPr>
            <w:tcW w:w="1779" w:type="dxa"/>
            <w:shd w:val="clear" w:color="auto" w:fill="FF6D6D"/>
            <w:vAlign w:val="center"/>
          </w:tcPr>
          <w:p w:rsidR="00CC7907" w:rsidRPr="004879CA" w:rsidRDefault="00F47ED7" w:rsidP="0049378F">
            <w:pPr>
              <w:ind w:left="360"/>
              <w:rPr>
                <w:rFonts w:ascii="PT Sans" w:hAnsi="PT Sans"/>
                <w:sz w:val="20"/>
                <w:szCs w:val="20"/>
              </w:rPr>
            </w:pPr>
            <w:r w:rsidRPr="004879CA">
              <w:rPr>
                <w:rFonts w:ascii="PT Sans" w:hAnsi="PT Sans"/>
                <w:sz w:val="20"/>
                <w:szCs w:val="20"/>
              </w:rPr>
              <w:t>Not started</w:t>
            </w:r>
          </w:p>
        </w:tc>
      </w:tr>
      <w:tr w:rsidR="00CC7907" w:rsidRPr="003008D4" w:rsidTr="00CC7907">
        <w:trPr>
          <w:trHeight w:val="70"/>
        </w:trPr>
        <w:tc>
          <w:tcPr>
            <w:tcW w:w="7237" w:type="dxa"/>
            <w:gridSpan w:val="3"/>
          </w:tcPr>
          <w:p w:rsidR="00CC7907" w:rsidRPr="004879CA" w:rsidRDefault="00CC7907" w:rsidP="00CC7907">
            <w:pPr>
              <w:rPr>
                <w:rFonts w:ascii="PT Sans" w:hAnsi="PT Sans"/>
                <w:sz w:val="24"/>
                <w:szCs w:val="24"/>
              </w:rPr>
            </w:pPr>
            <w:r w:rsidRPr="004879CA">
              <w:rPr>
                <w:rFonts w:ascii="PT Sans" w:hAnsi="PT Sans"/>
                <w:b/>
                <w:sz w:val="24"/>
                <w:szCs w:val="24"/>
              </w:rPr>
              <w:t>Updates/notes:</w:t>
            </w:r>
          </w:p>
        </w:tc>
        <w:tc>
          <w:tcPr>
            <w:tcW w:w="1779" w:type="dxa"/>
          </w:tcPr>
          <w:p w:rsidR="00CC7907" w:rsidRPr="004879CA" w:rsidRDefault="00CC7907" w:rsidP="00CC7907">
            <w:pPr>
              <w:rPr>
                <w:rFonts w:ascii="PT Sans" w:hAnsi="PT Sans"/>
                <w:b/>
                <w:sz w:val="24"/>
                <w:szCs w:val="24"/>
              </w:rPr>
            </w:pPr>
          </w:p>
        </w:tc>
      </w:tr>
      <w:tr w:rsidR="00CC7907" w:rsidRPr="003008D4" w:rsidTr="00620576">
        <w:tc>
          <w:tcPr>
            <w:tcW w:w="9016" w:type="dxa"/>
            <w:gridSpan w:val="4"/>
          </w:tcPr>
          <w:p w:rsidR="00CC7907" w:rsidRPr="004879CA" w:rsidRDefault="00CC7907" w:rsidP="00CC7907">
            <w:pPr>
              <w:rPr>
                <w:rFonts w:ascii="PT Sans" w:hAnsi="PT Sans"/>
                <w:b/>
                <w:sz w:val="24"/>
                <w:szCs w:val="24"/>
              </w:rPr>
            </w:pPr>
          </w:p>
          <w:p w:rsidR="00073B86" w:rsidRPr="004879CA" w:rsidRDefault="00073B86" w:rsidP="007843D6">
            <w:pPr>
              <w:numPr>
                <w:ilvl w:val="0"/>
                <w:numId w:val="13"/>
              </w:numPr>
              <w:contextualSpacing/>
              <w:rPr>
                <w:rFonts w:ascii="PT Sans" w:eastAsia="Times New Roman" w:hAnsi="PT Sans" w:cs="Times New Roman"/>
                <w:sz w:val="24"/>
                <w:szCs w:val="24"/>
                <w:lang w:eastAsia="en-GB"/>
              </w:rPr>
            </w:pPr>
            <w:r w:rsidRPr="004879CA">
              <w:rPr>
                <w:rFonts w:ascii="PT Sans" w:eastAsia="Times New Roman" w:hAnsi="PT Sans" w:cs="Times New Roman"/>
                <w:sz w:val="24"/>
                <w:szCs w:val="24"/>
                <w:lang w:eastAsia="en-GB"/>
              </w:rPr>
              <w:t>A policy hasn’t been written/suggested yet.</w:t>
            </w:r>
          </w:p>
          <w:p w:rsidR="007843D6" w:rsidRPr="004879CA" w:rsidRDefault="007843D6" w:rsidP="007843D6">
            <w:pPr>
              <w:numPr>
                <w:ilvl w:val="0"/>
                <w:numId w:val="13"/>
              </w:numPr>
              <w:contextualSpacing/>
              <w:rPr>
                <w:rFonts w:ascii="PT Sans" w:eastAsia="Times New Roman" w:hAnsi="PT Sans" w:cs="Times New Roman"/>
                <w:sz w:val="24"/>
                <w:szCs w:val="24"/>
                <w:lang w:eastAsia="en-GB"/>
              </w:rPr>
            </w:pPr>
            <w:r w:rsidRPr="004879CA">
              <w:rPr>
                <w:rFonts w:ascii="PT Sans" w:eastAsia="Times New Roman" w:hAnsi="PT Sans" w:cs="Times New Roman"/>
                <w:sz w:val="24"/>
                <w:szCs w:val="24"/>
                <w:lang w:eastAsia="en-GB"/>
              </w:rPr>
              <w:t>Confirmed that Gender Neutral Toilets are being built into the new Chelmsford Campus Medical School.</w:t>
            </w:r>
            <w:r w:rsidR="00073B86" w:rsidRPr="004879CA">
              <w:rPr>
                <w:rFonts w:ascii="PT Sans" w:eastAsia="Times New Roman" w:hAnsi="PT Sans" w:cs="Times New Roman"/>
                <w:sz w:val="24"/>
                <w:szCs w:val="24"/>
                <w:lang w:eastAsia="en-GB"/>
              </w:rPr>
              <w:t xml:space="preserve"> T</w:t>
            </w:r>
            <w:r w:rsidRPr="004879CA">
              <w:rPr>
                <w:rFonts w:ascii="PT Sans" w:eastAsia="Times New Roman" w:hAnsi="PT Sans" w:cs="Times New Roman"/>
                <w:sz w:val="24"/>
                <w:szCs w:val="24"/>
                <w:lang w:eastAsia="en-GB"/>
              </w:rPr>
              <w:t>hey have not been built in to the new Science Centre (currently being built on the Cambridge Campus) as this policy came into effect after plans were completed on this building.</w:t>
            </w:r>
          </w:p>
          <w:p w:rsidR="00025AA4" w:rsidRPr="004879CA" w:rsidRDefault="007843D6" w:rsidP="00025AA4">
            <w:pPr>
              <w:numPr>
                <w:ilvl w:val="0"/>
                <w:numId w:val="13"/>
              </w:numPr>
              <w:contextualSpacing/>
              <w:rPr>
                <w:rFonts w:ascii="PT Sans" w:eastAsia="Times New Roman" w:hAnsi="PT Sans" w:cs="Times New Roman"/>
                <w:sz w:val="24"/>
                <w:szCs w:val="24"/>
                <w:lang w:eastAsia="en-GB"/>
              </w:rPr>
            </w:pPr>
            <w:r w:rsidRPr="004879CA">
              <w:rPr>
                <w:rFonts w:ascii="PT Sans" w:eastAsia="Times New Roman" w:hAnsi="PT Sans" w:cs="Times New Roman"/>
                <w:sz w:val="24"/>
                <w:szCs w:val="24"/>
                <w:lang w:eastAsia="en-GB"/>
              </w:rPr>
              <w:t xml:space="preserve">As part of the Equality, Diversity and Inclusion Group I have agreed to lead an audit of the toilets in the university to find suitable places to create Gender Neutral Toilets where there aren’t any. </w:t>
            </w:r>
          </w:p>
          <w:p w:rsidR="00025AA4" w:rsidRPr="004879CA" w:rsidRDefault="001A41D0" w:rsidP="00025AA4">
            <w:pPr>
              <w:ind w:left="720"/>
              <w:contextualSpacing/>
              <w:rPr>
                <w:rFonts w:ascii="PT Sans" w:eastAsia="Times New Roman" w:hAnsi="PT Sans" w:cs="Times New Roman"/>
                <w:color w:val="FF0000"/>
                <w:sz w:val="24"/>
                <w:szCs w:val="24"/>
                <w:lang w:eastAsia="en-GB"/>
              </w:rPr>
            </w:pPr>
            <w:r w:rsidRPr="004879CA">
              <w:rPr>
                <w:rFonts w:ascii="PT Sans" w:eastAsia="Times New Roman" w:hAnsi="PT Sans" w:cs="Times New Roman"/>
                <w:color w:val="FF0000"/>
                <w:sz w:val="24"/>
                <w:szCs w:val="24"/>
                <w:lang w:eastAsia="en-GB"/>
              </w:rPr>
              <w:t xml:space="preserve">Looked over all toilets in building </w:t>
            </w:r>
            <w:r w:rsidR="0067029F" w:rsidRPr="004879CA">
              <w:rPr>
                <w:rFonts w:ascii="PT Sans" w:eastAsia="Times New Roman" w:hAnsi="PT Sans" w:cs="Times New Roman"/>
                <w:color w:val="FF0000"/>
                <w:sz w:val="24"/>
                <w:szCs w:val="24"/>
                <w:lang w:eastAsia="en-GB"/>
              </w:rPr>
              <w:t>plans and f</w:t>
            </w:r>
            <w:r w:rsidRPr="004879CA">
              <w:rPr>
                <w:rFonts w:ascii="PT Sans" w:eastAsia="Times New Roman" w:hAnsi="PT Sans" w:cs="Times New Roman"/>
                <w:color w:val="FF0000"/>
                <w:sz w:val="24"/>
                <w:szCs w:val="24"/>
                <w:lang w:eastAsia="en-GB"/>
              </w:rPr>
              <w:t xml:space="preserve">ound several toilets that can be easily converted to GNTs. </w:t>
            </w:r>
            <w:r w:rsidR="00025AA4" w:rsidRPr="004879CA">
              <w:rPr>
                <w:rFonts w:ascii="PT Sans" w:eastAsia="Times New Roman" w:hAnsi="PT Sans" w:cs="Times New Roman"/>
                <w:color w:val="FF0000"/>
                <w:sz w:val="24"/>
                <w:szCs w:val="24"/>
                <w:lang w:eastAsia="en-GB"/>
              </w:rPr>
              <w:t>GNTs will be created in the W</w:t>
            </w:r>
            <w:r w:rsidR="001531E0" w:rsidRPr="004879CA">
              <w:rPr>
                <w:rFonts w:ascii="PT Sans" w:eastAsia="Times New Roman" w:hAnsi="PT Sans" w:cs="Times New Roman"/>
                <w:color w:val="FF0000"/>
                <w:sz w:val="24"/>
                <w:szCs w:val="24"/>
                <w:lang w:eastAsia="en-GB"/>
              </w:rPr>
              <w:t xml:space="preserve">illiam Harvey Building, several others have been identified. </w:t>
            </w:r>
          </w:p>
          <w:p w:rsidR="00CC7907" w:rsidRPr="004879CA" w:rsidRDefault="00F47ED7" w:rsidP="007843D6">
            <w:pPr>
              <w:numPr>
                <w:ilvl w:val="0"/>
                <w:numId w:val="13"/>
              </w:numPr>
              <w:contextualSpacing/>
              <w:rPr>
                <w:rFonts w:ascii="PT Sans" w:eastAsia="Times New Roman" w:hAnsi="PT Sans" w:cs="Times New Roman"/>
                <w:sz w:val="24"/>
                <w:szCs w:val="24"/>
                <w:lang w:eastAsia="en-GB"/>
              </w:rPr>
            </w:pPr>
            <w:r w:rsidRPr="004879CA">
              <w:rPr>
                <w:rFonts w:ascii="PT Sans" w:eastAsia="Times New Roman" w:hAnsi="PT Sans" w:cs="Times New Roman"/>
                <w:sz w:val="24"/>
                <w:szCs w:val="24"/>
                <w:lang w:eastAsia="en-GB"/>
              </w:rPr>
              <w:t>A policy</w:t>
            </w:r>
            <w:r w:rsidR="00073B86" w:rsidRPr="004879CA">
              <w:rPr>
                <w:rFonts w:ascii="PT Sans" w:eastAsia="Times New Roman" w:hAnsi="PT Sans" w:cs="Times New Roman"/>
                <w:sz w:val="24"/>
                <w:szCs w:val="24"/>
                <w:lang w:eastAsia="en-GB"/>
              </w:rPr>
              <w:t xml:space="preserve"> hasn’t been suggested or written yet.</w:t>
            </w:r>
            <w:r w:rsidR="007843D6" w:rsidRPr="004879CA">
              <w:rPr>
                <w:rFonts w:ascii="PT Sans" w:eastAsia="Times New Roman" w:hAnsi="PT Sans" w:cs="Times New Roman"/>
                <w:sz w:val="24"/>
                <w:szCs w:val="24"/>
                <w:lang w:eastAsia="en-GB"/>
              </w:rPr>
              <w:t xml:space="preserve"> </w:t>
            </w:r>
          </w:p>
        </w:tc>
      </w:tr>
    </w:tbl>
    <w:p w:rsidR="0075351C" w:rsidRPr="003008D4" w:rsidRDefault="0075351C">
      <w:pPr>
        <w:rPr>
          <w:rFonts w:ascii="PT Sans" w:hAnsi="PT Sans"/>
          <w:sz w:val="20"/>
          <w:szCs w:val="20"/>
        </w:rPr>
      </w:pPr>
    </w:p>
    <w:sectPr w:rsidR="0075351C" w:rsidRPr="003008D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D70" w:rsidRDefault="00C77D70" w:rsidP="00C77D70">
      <w:pPr>
        <w:spacing w:after="0" w:line="240" w:lineRule="auto"/>
      </w:pPr>
      <w:r>
        <w:separator/>
      </w:r>
    </w:p>
  </w:endnote>
  <w:endnote w:type="continuationSeparator" w:id="0">
    <w:p w:rsidR="00C77D70" w:rsidRDefault="00C77D70" w:rsidP="00C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607" w:rsidRDefault="001726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607" w:rsidRDefault="001726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607" w:rsidRDefault="00172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D70" w:rsidRDefault="00C77D70" w:rsidP="00C77D70">
      <w:pPr>
        <w:spacing w:after="0" w:line="240" w:lineRule="auto"/>
      </w:pPr>
      <w:r>
        <w:separator/>
      </w:r>
    </w:p>
  </w:footnote>
  <w:footnote w:type="continuationSeparator" w:id="0">
    <w:p w:rsidR="00C77D70" w:rsidRDefault="00C77D70" w:rsidP="00C77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607" w:rsidRDefault="00172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70" w:rsidRDefault="00326B35" w:rsidP="00C77D70">
    <w:pPr>
      <w:pStyle w:val="Header"/>
      <w:jc w:val="right"/>
    </w:pPr>
    <w:r>
      <w:t>EC</w:t>
    </w:r>
    <w:r w:rsidR="00FB17BD">
      <w:t>07</w:t>
    </w:r>
    <w:r w:rsidR="00172607">
      <w:t>/</w:t>
    </w:r>
    <w:r w:rsidR="00C77D70">
      <w:t>1</w:t>
    </w:r>
    <w:r w:rsidR="00FB17BD">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607" w:rsidRDefault="00172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7606A"/>
    <w:multiLevelType w:val="hybridMultilevel"/>
    <w:tmpl w:val="389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E7670"/>
    <w:multiLevelType w:val="hybridMultilevel"/>
    <w:tmpl w:val="09F20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48112D"/>
    <w:multiLevelType w:val="hybridMultilevel"/>
    <w:tmpl w:val="F392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F5763"/>
    <w:multiLevelType w:val="hybridMultilevel"/>
    <w:tmpl w:val="521A4A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71BC0"/>
    <w:multiLevelType w:val="hybridMultilevel"/>
    <w:tmpl w:val="27DC7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17181"/>
    <w:multiLevelType w:val="hybridMultilevel"/>
    <w:tmpl w:val="7FF41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6759F1"/>
    <w:multiLevelType w:val="hybridMultilevel"/>
    <w:tmpl w:val="15AE0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CF603C"/>
    <w:multiLevelType w:val="hybridMultilevel"/>
    <w:tmpl w:val="2F203DE8"/>
    <w:lvl w:ilvl="0" w:tplc="82266F5C">
      <w:start w:val="1"/>
      <w:numFmt w:val="decimal"/>
      <w:lvlText w:val="%1."/>
      <w:lvlJc w:val="left"/>
      <w:pPr>
        <w:ind w:left="735" w:hanging="675"/>
      </w:pPr>
      <w:rPr>
        <w:rFonts w:ascii="PT Sans" w:hAnsi="PT San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4EDF04A7"/>
    <w:multiLevelType w:val="hybridMultilevel"/>
    <w:tmpl w:val="33D25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736B85"/>
    <w:multiLevelType w:val="hybridMultilevel"/>
    <w:tmpl w:val="2468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B27C6"/>
    <w:multiLevelType w:val="hybridMultilevel"/>
    <w:tmpl w:val="7344849A"/>
    <w:lvl w:ilvl="0" w:tplc="794AB190">
      <w:start w:val="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5FF11F4"/>
    <w:multiLevelType w:val="hybridMultilevel"/>
    <w:tmpl w:val="C534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E045A9"/>
    <w:multiLevelType w:val="hybridMultilevel"/>
    <w:tmpl w:val="45B214F2"/>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F45FBB"/>
    <w:multiLevelType w:val="hybridMultilevel"/>
    <w:tmpl w:val="1A9AE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9"/>
  </w:num>
  <w:num w:numId="5">
    <w:abstractNumId w:val="11"/>
  </w:num>
  <w:num w:numId="6">
    <w:abstractNumId w:val="13"/>
  </w:num>
  <w:num w:numId="7">
    <w:abstractNumId w:val="10"/>
  </w:num>
  <w:num w:numId="8">
    <w:abstractNumId w:val="5"/>
  </w:num>
  <w:num w:numId="9">
    <w:abstractNumId w:val="7"/>
  </w:num>
  <w:num w:numId="10">
    <w:abstractNumId w:val="3"/>
  </w:num>
  <w:num w:numId="11">
    <w:abstractNumId w:val="12"/>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D4"/>
    <w:rsid w:val="00017ED3"/>
    <w:rsid w:val="00025AA4"/>
    <w:rsid w:val="00063CC3"/>
    <w:rsid w:val="00073B86"/>
    <w:rsid w:val="001531E0"/>
    <w:rsid w:val="00172607"/>
    <w:rsid w:val="001A41D0"/>
    <w:rsid w:val="003008D4"/>
    <w:rsid w:val="00326B35"/>
    <w:rsid w:val="00334960"/>
    <w:rsid w:val="00351D78"/>
    <w:rsid w:val="004879CA"/>
    <w:rsid w:val="0049378F"/>
    <w:rsid w:val="004F4455"/>
    <w:rsid w:val="0064370E"/>
    <w:rsid w:val="0067029F"/>
    <w:rsid w:val="00743F7F"/>
    <w:rsid w:val="00745270"/>
    <w:rsid w:val="0075351C"/>
    <w:rsid w:val="007843D6"/>
    <w:rsid w:val="007C1BC1"/>
    <w:rsid w:val="008B24AD"/>
    <w:rsid w:val="00986050"/>
    <w:rsid w:val="009873BC"/>
    <w:rsid w:val="009A4CAC"/>
    <w:rsid w:val="00A068BD"/>
    <w:rsid w:val="00A70947"/>
    <w:rsid w:val="00C36A21"/>
    <w:rsid w:val="00C77D70"/>
    <w:rsid w:val="00CC7907"/>
    <w:rsid w:val="00DE7530"/>
    <w:rsid w:val="00F47ED7"/>
    <w:rsid w:val="00F8607E"/>
    <w:rsid w:val="00FB1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D4FDC-9998-459A-A9D0-F5688A1A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8D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6050"/>
    <w:rPr>
      <w:color w:val="0563C1" w:themeColor="hyperlink"/>
      <w:u w:val="single"/>
    </w:rPr>
  </w:style>
  <w:style w:type="paragraph" w:styleId="Header">
    <w:name w:val="header"/>
    <w:basedOn w:val="Normal"/>
    <w:link w:val="HeaderChar"/>
    <w:uiPriority w:val="99"/>
    <w:unhideWhenUsed/>
    <w:rsid w:val="00C7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D70"/>
  </w:style>
  <w:style w:type="paragraph" w:styleId="Footer">
    <w:name w:val="footer"/>
    <w:basedOn w:val="Normal"/>
    <w:link w:val="FooterChar"/>
    <w:uiPriority w:val="99"/>
    <w:unhideWhenUsed/>
    <w:rsid w:val="00C7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15E36622.dotm</Template>
  <TotalTime>0</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 Daniel</dc:creator>
  <cp:keywords/>
  <dc:description/>
  <cp:lastModifiedBy>Bennett, Megan (SU)</cp:lastModifiedBy>
  <cp:revision>6</cp:revision>
  <dcterms:created xsi:type="dcterms:W3CDTF">2017-01-06T14:47:00Z</dcterms:created>
  <dcterms:modified xsi:type="dcterms:W3CDTF">2017-01-06T15:24:00Z</dcterms:modified>
</cp:coreProperties>
</file>