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434C7F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W</w:t>
            </w:r>
            <w:r w:rsidR="00F01713">
              <w:rPr>
                <w:rFonts w:ascii="PT Sans" w:hAnsi="PT Sans"/>
                <w:sz w:val="40"/>
                <w:szCs w:val="40"/>
              </w:rPr>
              <w:t>E</w:t>
            </w:r>
            <w:r>
              <w:rPr>
                <w:rFonts w:ascii="PT Sans" w:hAnsi="PT Sans"/>
                <w:sz w:val="40"/>
                <w:szCs w:val="40"/>
              </w:rPr>
              <w:t xml:space="preserve"> WANT THE LIVING WAGE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C94EF5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C94EF5"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C94EF5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C94EF5" w:rsidRDefault="00C94EF5" w:rsidP="00CC7907">
            <w:pPr>
              <w:rPr>
                <w:rFonts w:ascii="PT Sans" w:hAnsi="PT Sans"/>
                <w:sz w:val="24"/>
                <w:szCs w:val="24"/>
              </w:rPr>
            </w:pPr>
            <w:r w:rsidRPr="00C94EF5">
              <w:rPr>
                <w:rFonts w:ascii="PT Sans" w:hAnsi="PT Sans"/>
                <w:sz w:val="24"/>
                <w:szCs w:val="24"/>
              </w:rPr>
              <w:t>11/01/17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C94EF5" w:rsidRDefault="00434C7F" w:rsidP="00CC7907">
            <w:pPr>
              <w:rPr>
                <w:rFonts w:ascii="PT Sans" w:hAnsi="PT Sans"/>
                <w:sz w:val="24"/>
                <w:szCs w:val="24"/>
              </w:rPr>
            </w:pPr>
            <w:r w:rsidRPr="00C94EF5">
              <w:rPr>
                <w:rFonts w:ascii="PT Sans" w:hAnsi="PT Sans"/>
                <w:sz w:val="24"/>
                <w:szCs w:val="24"/>
              </w:rPr>
              <w:t xml:space="preserve">Precious </w:t>
            </w:r>
            <w:proofErr w:type="spellStart"/>
            <w:r w:rsidRPr="00C94EF5">
              <w:rPr>
                <w:rFonts w:ascii="PT Sans" w:hAnsi="PT Sans"/>
                <w:sz w:val="24"/>
                <w:szCs w:val="24"/>
              </w:rPr>
              <w:t>Nwanze</w:t>
            </w:r>
            <w:proofErr w:type="spellEnd"/>
          </w:p>
          <w:p w:rsidR="00CC7907" w:rsidRPr="00C94EF5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C94EF5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C94EF5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C94EF5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C94EF5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C94EF5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C94EF5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C94EF5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C94EF5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883FB6">
        <w:tc>
          <w:tcPr>
            <w:tcW w:w="7237" w:type="dxa"/>
            <w:gridSpan w:val="3"/>
          </w:tcPr>
          <w:p w:rsidR="00CC7907" w:rsidRPr="00C94EF5" w:rsidRDefault="00434C7F" w:rsidP="00434C7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C94EF5">
              <w:rPr>
                <w:rFonts w:ascii="PT Sans" w:hAnsi="PT Sans" w:cs="PT Sans"/>
              </w:rPr>
              <w:t>To lobby the University to pay all student staff the living wage, and to ensure that any working agreements reflect being paid this wage ex: deductions in rent.</w:t>
            </w:r>
          </w:p>
        </w:tc>
        <w:tc>
          <w:tcPr>
            <w:tcW w:w="1779" w:type="dxa"/>
            <w:shd w:val="clear" w:color="auto" w:fill="A8D08D" w:themeFill="accent6" w:themeFillTint="99"/>
            <w:vAlign w:val="center"/>
          </w:tcPr>
          <w:p w:rsidR="00CC7907" w:rsidRPr="00C94EF5" w:rsidRDefault="00C90861" w:rsidP="00883FB6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C94EF5">
              <w:rPr>
                <w:rFonts w:ascii="PT Sans" w:hAnsi="PT Sans"/>
                <w:sz w:val="20"/>
                <w:szCs w:val="20"/>
              </w:rPr>
              <w:t>Completed</w:t>
            </w:r>
          </w:p>
        </w:tc>
      </w:tr>
      <w:tr w:rsidR="00CC7907" w:rsidRPr="003008D4" w:rsidTr="00883FB6">
        <w:tc>
          <w:tcPr>
            <w:tcW w:w="7237" w:type="dxa"/>
            <w:gridSpan w:val="3"/>
          </w:tcPr>
          <w:p w:rsidR="00CC7907" w:rsidRPr="00C94EF5" w:rsidRDefault="00434C7F" w:rsidP="00434C7F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C94EF5">
              <w:rPr>
                <w:rFonts w:ascii="PT Sans" w:hAnsi="PT Sans" w:cs="PT Sans"/>
              </w:rPr>
              <w:t>For the Students’ Union to write a paper to present to relevant University Committees about why they should support the living wage.</w:t>
            </w:r>
          </w:p>
        </w:tc>
        <w:tc>
          <w:tcPr>
            <w:tcW w:w="1779" w:type="dxa"/>
            <w:vAlign w:val="center"/>
          </w:tcPr>
          <w:p w:rsidR="00CC7907" w:rsidRPr="00C94EF5" w:rsidRDefault="00C90861" w:rsidP="00883FB6">
            <w:pPr>
              <w:pStyle w:val="ListParagraph"/>
              <w:rPr>
                <w:rFonts w:ascii="PT Sans" w:hAnsi="PT Sans"/>
                <w:sz w:val="20"/>
                <w:szCs w:val="20"/>
              </w:rPr>
            </w:pPr>
            <w:r w:rsidRPr="00C94EF5">
              <w:rPr>
                <w:rFonts w:ascii="PT Sans" w:hAnsi="PT Sans"/>
                <w:sz w:val="20"/>
                <w:szCs w:val="20"/>
              </w:rPr>
              <w:t>n/a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C94EF5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C94EF5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CC7907" w:rsidRPr="00C94EF5" w:rsidRDefault="00C90861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C94EF5">
              <w:rPr>
                <w:rFonts w:ascii="PT Sans" w:hAnsi="PT Sans"/>
              </w:rPr>
              <w:t>The University now pay living wage</w:t>
            </w:r>
          </w:p>
          <w:p w:rsidR="00CC7907" w:rsidRPr="00C94EF5" w:rsidRDefault="00C90861" w:rsidP="00CC7907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C94EF5">
              <w:rPr>
                <w:rFonts w:ascii="PT Sans" w:hAnsi="PT Sans"/>
              </w:rPr>
              <w:t>The second policy resolve is no longer necessary</w:t>
            </w:r>
          </w:p>
          <w:p w:rsidR="00CC7907" w:rsidRPr="00C94EF5" w:rsidRDefault="00CC7907" w:rsidP="00434C7F">
            <w:pPr>
              <w:ind w:left="360"/>
              <w:rPr>
                <w:rFonts w:ascii="PT Sans" w:hAnsi="PT Sans"/>
                <w:sz w:val="24"/>
                <w:szCs w:val="24"/>
              </w:rPr>
            </w:pPr>
          </w:p>
          <w:p w:rsidR="00CC7907" w:rsidRPr="00C94EF5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90861" w:rsidRPr="003008D4" w:rsidTr="00620576">
        <w:tc>
          <w:tcPr>
            <w:tcW w:w="9016" w:type="dxa"/>
            <w:gridSpan w:val="4"/>
          </w:tcPr>
          <w:p w:rsidR="00C90861" w:rsidRDefault="00C90861" w:rsidP="00CC7907">
            <w:pPr>
              <w:rPr>
                <w:rFonts w:ascii="PT Sans" w:hAnsi="PT Sans"/>
                <w:b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  <w:bookmarkStart w:id="0" w:name="_GoBack"/>
      <w:bookmarkEnd w:id="0"/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0B2D8A" w:rsidP="00C77D70">
    <w:pPr>
      <w:pStyle w:val="Header"/>
      <w:jc w:val="right"/>
    </w:pPr>
    <w:r>
      <w:t>EC1</w:t>
    </w:r>
    <w:r w:rsidR="00C94EF5">
      <w:t>3</w:t>
    </w:r>
    <w:r w:rsidR="00FB2444">
      <w:t>/</w:t>
    </w:r>
    <w:r w:rsidR="00C77D70">
      <w:t>1</w:t>
    </w:r>
    <w:r w:rsidR="00C94EF5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63CC3"/>
    <w:rsid w:val="000B2D8A"/>
    <w:rsid w:val="003008D4"/>
    <w:rsid w:val="00434C7F"/>
    <w:rsid w:val="004F4455"/>
    <w:rsid w:val="00743F7F"/>
    <w:rsid w:val="00745270"/>
    <w:rsid w:val="0075351C"/>
    <w:rsid w:val="007C1BC1"/>
    <w:rsid w:val="00883FB6"/>
    <w:rsid w:val="008B24AD"/>
    <w:rsid w:val="00986050"/>
    <w:rsid w:val="009873BC"/>
    <w:rsid w:val="00C36A21"/>
    <w:rsid w:val="00C77D70"/>
    <w:rsid w:val="00C90861"/>
    <w:rsid w:val="00C94EF5"/>
    <w:rsid w:val="00CC7907"/>
    <w:rsid w:val="00DA78B7"/>
    <w:rsid w:val="00EB178C"/>
    <w:rsid w:val="00F01713"/>
    <w:rsid w:val="00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15E36622.dotm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2</cp:revision>
  <dcterms:created xsi:type="dcterms:W3CDTF">2017-01-06T15:26:00Z</dcterms:created>
  <dcterms:modified xsi:type="dcterms:W3CDTF">2017-01-06T15:26:00Z</dcterms:modified>
</cp:coreProperties>
</file>